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8217" w14:textId="77777777" w:rsidR="007C1D50" w:rsidRPr="004E1021" w:rsidRDefault="007C1D50" w:rsidP="004E1021">
      <w:pPr>
        <w:shd w:val="clear" w:color="auto" w:fill="FFFFFF"/>
        <w:spacing w:after="0" w:line="240" w:lineRule="auto"/>
        <w:jc w:val="both"/>
        <w:outlineLvl w:val="2"/>
        <w:rPr>
          <w:rFonts w:ascii="Arial" w:eastAsia="Times New Roman" w:hAnsi="Arial" w:cs="Arial"/>
          <w:b/>
          <w:bCs/>
          <w:color w:val="333333"/>
          <w:sz w:val="24"/>
          <w:szCs w:val="24"/>
        </w:rPr>
      </w:pPr>
      <w:r w:rsidRPr="004E1021">
        <w:rPr>
          <w:rFonts w:ascii="Arial" w:eastAsia="Times New Roman" w:hAnsi="Arial" w:cs="Arial"/>
          <w:b/>
          <w:bCs/>
          <w:color w:val="333333"/>
          <w:sz w:val="24"/>
          <w:szCs w:val="24"/>
        </w:rPr>
        <w:t>Information to be provided to R</w:t>
      </w:r>
      <w:r w:rsidR="00387D71" w:rsidRPr="004E1021">
        <w:rPr>
          <w:rFonts w:ascii="Arial" w:eastAsia="Times New Roman" w:hAnsi="Arial" w:cs="Arial"/>
          <w:b/>
          <w:bCs/>
          <w:color w:val="333333"/>
          <w:sz w:val="24"/>
          <w:szCs w:val="24"/>
        </w:rPr>
        <w:t>egistrar and Share Transfer Agent (R</w:t>
      </w:r>
      <w:r w:rsidRPr="004E1021">
        <w:rPr>
          <w:rFonts w:ascii="Arial" w:eastAsia="Times New Roman" w:hAnsi="Arial" w:cs="Arial"/>
          <w:b/>
          <w:bCs/>
          <w:color w:val="333333"/>
          <w:sz w:val="24"/>
          <w:szCs w:val="24"/>
        </w:rPr>
        <w:t>TA</w:t>
      </w:r>
      <w:r w:rsidR="00387D71" w:rsidRPr="004E1021">
        <w:rPr>
          <w:rFonts w:ascii="Arial" w:eastAsia="Times New Roman" w:hAnsi="Arial" w:cs="Arial"/>
          <w:b/>
          <w:bCs/>
          <w:color w:val="333333"/>
          <w:sz w:val="24"/>
          <w:szCs w:val="24"/>
        </w:rPr>
        <w:t>)</w:t>
      </w:r>
      <w:r w:rsidRPr="004E1021">
        <w:rPr>
          <w:rFonts w:ascii="Arial" w:eastAsia="Times New Roman" w:hAnsi="Arial" w:cs="Arial"/>
          <w:b/>
          <w:bCs/>
          <w:color w:val="333333"/>
          <w:sz w:val="24"/>
          <w:szCs w:val="24"/>
        </w:rPr>
        <w:t>, if holding shares in physical form</w:t>
      </w:r>
    </w:p>
    <w:p w14:paraId="45D56E84" w14:textId="77777777" w:rsidR="004E1021" w:rsidRDefault="004E1021" w:rsidP="004E1021">
      <w:pPr>
        <w:shd w:val="clear" w:color="auto" w:fill="FFFFFF"/>
        <w:spacing w:after="0" w:line="240" w:lineRule="auto"/>
        <w:jc w:val="both"/>
        <w:rPr>
          <w:rFonts w:ascii="Arial" w:eastAsia="Times New Roman" w:hAnsi="Arial" w:cs="Arial"/>
          <w:color w:val="1E1E1E"/>
          <w:sz w:val="24"/>
          <w:szCs w:val="24"/>
        </w:rPr>
      </w:pPr>
    </w:p>
    <w:p w14:paraId="27FDA6B4" w14:textId="0F8F3DB8" w:rsidR="007C1D50" w:rsidRPr="004E1021" w:rsidRDefault="007C1D50" w:rsidP="004E1021">
      <w:pPr>
        <w:shd w:val="clear" w:color="auto" w:fill="FFFFFF"/>
        <w:spacing w:after="0" w:line="240" w:lineRule="auto"/>
        <w:jc w:val="both"/>
        <w:rPr>
          <w:rFonts w:ascii="Arial" w:eastAsia="Times New Roman" w:hAnsi="Arial" w:cs="Arial"/>
          <w:color w:val="1E1E1E"/>
          <w:sz w:val="24"/>
          <w:szCs w:val="24"/>
        </w:rPr>
      </w:pPr>
      <w:r w:rsidRPr="004E1021">
        <w:rPr>
          <w:rFonts w:ascii="Arial" w:eastAsia="Times New Roman" w:hAnsi="Arial" w:cs="Arial"/>
          <w:color w:val="1E1E1E"/>
          <w:sz w:val="24"/>
          <w:szCs w:val="24"/>
        </w:rPr>
        <w:t>The Securities and Exchange Board of India (‘SEBI’) vide its circular dated 3</w:t>
      </w:r>
      <w:r w:rsidRPr="004E1021">
        <w:rPr>
          <w:rFonts w:ascii="Arial" w:eastAsia="Times New Roman" w:hAnsi="Arial" w:cs="Arial"/>
          <w:color w:val="1E1E1E"/>
          <w:sz w:val="24"/>
          <w:szCs w:val="24"/>
          <w:vertAlign w:val="superscript"/>
        </w:rPr>
        <w:t>rd</w:t>
      </w:r>
      <w:r w:rsidR="00757A2E" w:rsidRPr="004E1021">
        <w:rPr>
          <w:rFonts w:ascii="Arial" w:eastAsia="Times New Roman" w:hAnsi="Arial" w:cs="Arial"/>
          <w:color w:val="1E1E1E"/>
          <w:sz w:val="24"/>
          <w:szCs w:val="24"/>
        </w:rPr>
        <w:t xml:space="preserve"> </w:t>
      </w:r>
      <w:r w:rsidRPr="004E1021">
        <w:rPr>
          <w:rFonts w:ascii="Arial" w:eastAsia="Times New Roman" w:hAnsi="Arial" w:cs="Arial"/>
          <w:color w:val="1E1E1E"/>
          <w:sz w:val="24"/>
          <w:szCs w:val="24"/>
        </w:rPr>
        <w:t>November</w:t>
      </w:r>
      <w:r w:rsidR="00757A2E" w:rsidRPr="004E1021">
        <w:rPr>
          <w:rFonts w:ascii="Arial" w:eastAsia="Times New Roman" w:hAnsi="Arial" w:cs="Arial"/>
          <w:color w:val="1E1E1E"/>
          <w:sz w:val="24"/>
          <w:szCs w:val="24"/>
        </w:rPr>
        <w:t>,</w:t>
      </w:r>
      <w:r w:rsidRPr="004E1021">
        <w:rPr>
          <w:rFonts w:ascii="Arial" w:eastAsia="Times New Roman" w:hAnsi="Arial" w:cs="Arial"/>
          <w:color w:val="1E1E1E"/>
          <w:sz w:val="24"/>
          <w:szCs w:val="24"/>
        </w:rPr>
        <w:t xml:space="preserve"> 2021 </w:t>
      </w:r>
      <w:r w:rsidR="008A7BB4" w:rsidRPr="004E1021">
        <w:rPr>
          <w:rFonts w:ascii="Arial" w:eastAsia="Times New Roman" w:hAnsi="Arial" w:cs="Arial"/>
          <w:color w:val="1E1E1E"/>
          <w:sz w:val="24"/>
          <w:szCs w:val="24"/>
        </w:rPr>
        <w:t>(</w:t>
      </w:r>
      <w:r w:rsidR="00771248" w:rsidRPr="004E1021">
        <w:rPr>
          <w:rFonts w:ascii="Arial" w:eastAsia="Times New Roman" w:hAnsi="Arial" w:cs="Arial"/>
          <w:sz w:val="24"/>
          <w:szCs w:val="24"/>
        </w:rPr>
        <w:t>SEBI Circular</w:t>
      </w:r>
      <w:r w:rsidR="008A7BB4" w:rsidRPr="004E1021">
        <w:rPr>
          <w:rFonts w:ascii="Arial" w:eastAsia="Times New Roman" w:hAnsi="Arial" w:cs="Arial"/>
          <w:color w:val="1E1E1E"/>
          <w:sz w:val="24"/>
          <w:szCs w:val="24"/>
        </w:rPr>
        <w:t xml:space="preserve">) </w:t>
      </w:r>
      <w:r w:rsidRPr="004E1021">
        <w:rPr>
          <w:rFonts w:ascii="Arial" w:eastAsia="Times New Roman" w:hAnsi="Arial" w:cs="Arial"/>
          <w:color w:val="1E1E1E"/>
          <w:sz w:val="24"/>
          <w:szCs w:val="24"/>
        </w:rPr>
        <w:t>has made it mandatory for the shareholders holding securities in physical form to furnish PAN, KYC details and Nomination to the Registrar and Transfer Agent (‘RTA’) of the Company. In case of failure to provide required documents and details as per the aforesaid SEBI circular, all folios of such shareholders shall be frozen on or after 1</w:t>
      </w:r>
      <w:r w:rsidRPr="004E1021">
        <w:rPr>
          <w:rFonts w:ascii="Arial" w:eastAsia="Times New Roman" w:hAnsi="Arial" w:cs="Arial"/>
          <w:color w:val="1E1E1E"/>
          <w:sz w:val="24"/>
          <w:szCs w:val="24"/>
          <w:vertAlign w:val="superscript"/>
        </w:rPr>
        <w:t>st</w:t>
      </w:r>
      <w:r w:rsidR="00757A2E" w:rsidRPr="004E1021">
        <w:rPr>
          <w:rFonts w:ascii="Arial" w:eastAsia="Times New Roman" w:hAnsi="Arial" w:cs="Arial"/>
          <w:color w:val="1E1E1E"/>
          <w:sz w:val="24"/>
          <w:szCs w:val="24"/>
        </w:rPr>
        <w:t xml:space="preserve"> </w:t>
      </w:r>
      <w:r w:rsidRPr="004E1021">
        <w:rPr>
          <w:rFonts w:ascii="Arial" w:eastAsia="Times New Roman" w:hAnsi="Arial" w:cs="Arial"/>
          <w:color w:val="1E1E1E"/>
          <w:sz w:val="24"/>
          <w:szCs w:val="24"/>
        </w:rPr>
        <w:t>April</w:t>
      </w:r>
      <w:r w:rsidR="00757A2E" w:rsidRPr="004E1021">
        <w:rPr>
          <w:rFonts w:ascii="Arial" w:eastAsia="Times New Roman" w:hAnsi="Arial" w:cs="Arial"/>
          <w:color w:val="1E1E1E"/>
          <w:sz w:val="24"/>
          <w:szCs w:val="24"/>
        </w:rPr>
        <w:t>,</w:t>
      </w:r>
      <w:r w:rsidRPr="004E1021">
        <w:rPr>
          <w:rFonts w:ascii="Arial" w:eastAsia="Times New Roman" w:hAnsi="Arial" w:cs="Arial"/>
          <w:color w:val="1E1E1E"/>
          <w:sz w:val="24"/>
          <w:szCs w:val="24"/>
        </w:rPr>
        <w:t xml:space="preserve"> 2023 by the RTA.</w:t>
      </w:r>
      <w:r w:rsidR="00A166BC" w:rsidRPr="004E1021">
        <w:rPr>
          <w:rFonts w:ascii="Arial" w:eastAsia="Times New Roman" w:hAnsi="Arial" w:cs="Arial"/>
          <w:color w:val="1E1E1E"/>
          <w:sz w:val="24"/>
          <w:szCs w:val="24"/>
        </w:rPr>
        <w:t xml:space="preserve"> </w:t>
      </w:r>
      <w:hyperlink r:id="rId5" w:history="1">
        <w:r w:rsidR="00A166BC" w:rsidRPr="004E1021">
          <w:rPr>
            <w:rStyle w:val="Hyperlink"/>
            <w:rFonts w:ascii="Arial" w:eastAsia="Times New Roman" w:hAnsi="Arial" w:cs="Arial"/>
            <w:sz w:val="24"/>
            <w:szCs w:val="24"/>
          </w:rPr>
          <w:t>(The said SEBI Circular is attached here)</w:t>
        </w:r>
      </w:hyperlink>
      <w:r w:rsidR="00771248" w:rsidRPr="004E1021">
        <w:rPr>
          <w:rFonts w:ascii="Arial" w:eastAsia="Times New Roman" w:hAnsi="Arial" w:cs="Arial"/>
          <w:color w:val="1E1E1E"/>
          <w:sz w:val="24"/>
          <w:szCs w:val="24"/>
        </w:rPr>
        <w:t>.</w:t>
      </w:r>
    </w:p>
    <w:p w14:paraId="48F11EAF" w14:textId="77777777" w:rsidR="004E1021" w:rsidRDefault="004E1021" w:rsidP="004E1021">
      <w:pPr>
        <w:shd w:val="clear" w:color="auto" w:fill="FFFFFF"/>
        <w:spacing w:after="0" w:line="240" w:lineRule="auto"/>
        <w:jc w:val="both"/>
        <w:rPr>
          <w:rFonts w:ascii="Arial" w:eastAsia="Times New Roman" w:hAnsi="Arial" w:cs="Arial"/>
          <w:color w:val="1E1E1E"/>
          <w:sz w:val="24"/>
          <w:szCs w:val="24"/>
        </w:rPr>
      </w:pPr>
    </w:p>
    <w:p w14:paraId="6532EA80" w14:textId="77777777" w:rsidR="007C1D50" w:rsidRPr="004E1021" w:rsidRDefault="007C1D50" w:rsidP="004E1021">
      <w:pPr>
        <w:shd w:val="clear" w:color="auto" w:fill="FFFFFF"/>
        <w:spacing w:after="0" w:line="240" w:lineRule="auto"/>
        <w:jc w:val="both"/>
        <w:rPr>
          <w:rFonts w:ascii="Arial" w:eastAsia="Times New Roman" w:hAnsi="Arial" w:cs="Arial"/>
          <w:color w:val="1E1E1E"/>
          <w:sz w:val="24"/>
          <w:szCs w:val="24"/>
        </w:rPr>
      </w:pPr>
      <w:r w:rsidRPr="004E1021">
        <w:rPr>
          <w:rFonts w:ascii="Arial" w:eastAsia="Times New Roman" w:hAnsi="Arial" w:cs="Arial"/>
          <w:color w:val="1E1E1E"/>
          <w:sz w:val="24"/>
          <w:szCs w:val="24"/>
        </w:rPr>
        <w:t>In view of the above, shareholders of the Company holding securities in physical form shall provide</w:t>
      </w:r>
      <w:r w:rsidR="00EF36DE" w:rsidRPr="004E1021">
        <w:rPr>
          <w:rFonts w:ascii="Arial" w:eastAsia="Times New Roman" w:hAnsi="Arial" w:cs="Arial"/>
          <w:color w:val="1E1E1E"/>
          <w:sz w:val="24"/>
          <w:szCs w:val="24"/>
        </w:rPr>
        <w:t>/update</w:t>
      </w:r>
      <w:r w:rsidRPr="004E1021">
        <w:rPr>
          <w:rFonts w:ascii="Arial" w:eastAsia="Times New Roman" w:hAnsi="Arial" w:cs="Arial"/>
          <w:color w:val="1E1E1E"/>
          <w:sz w:val="24"/>
          <w:szCs w:val="24"/>
        </w:rPr>
        <w:t xml:space="preserve"> following documents</w:t>
      </w:r>
      <w:r w:rsidR="00757A2E" w:rsidRPr="004E1021">
        <w:rPr>
          <w:rFonts w:ascii="Arial" w:eastAsia="Times New Roman" w:hAnsi="Arial" w:cs="Arial"/>
          <w:color w:val="1E1E1E"/>
          <w:sz w:val="24"/>
          <w:szCs w:val="24"/>
        </w:rPr>
        <w:t xml:space="preserve"> </w:t>
      </w:r>
      <w:r w:rsidRPr="004E1021">
        <w:rPr>
          <w:rFonts w:ascii="Arial" w:eastAsia="Times New Roman" w:hAnsi="Arial" w:cs="Arial"/>
          <w:color w:val="1E1E1E"/>
          <w:sz w:val="24"/>
          <w:szCs w:val="24"/>
        </w:rPr>
        <w:t>/</w:t>
      </w:r>
      <w:r w:rsidR="00757A2E" w:rsidRPr="004E1021">
        <w:rPr>
          <w:rFonts w:ascii="Arial" w:eastAsia="Times New Roman" w:hAnsi="Arial" w:cs="Arial"/>
          <w:color w:val="1E1E1E"/>
          <w:sz w:val="24"/>
          <w:szCs w:val="24"/>
        </w:rPr>
        <w:t xml:space="preserve"> </w:t>
      </w:r>
      <w:r w:rsidRPr="004E1021">
        <w:rPr>
          <w:rFonts w:ascii="Arial" w:eastAsia="Times New Roman" w:hAnsi="Arial" w:cs="Arial"/>
          <w:color w:val="1E1E1E"/>
          <w:sz w:val="24"/>
          <w:szCs w:val="24"/>
        </w:rPr>
        <w:t>details to RTA:</w:t>
      </w:r>
    </w:p>
    <w:p w14:paraId="6D5B22EA" w14:textId="77777777" w:rsidR="007C1D50" w:rsidRPr="004E1021" w:rsidRDefault="007C1D50" w:rsidP="004E1021">
      <w:pPr>
        <w:numPr>
          <w:ilvl w:val="0"/>
          <w:numId w:val="1"/>
        </w:numPr>
        <w:shd w:val="clear" w:color="auto" w:fill="FFFFFF"/>
        <w:spacing w:after="0" w:line="240" w:lineRule="auto"/>
        <w:jc w:val="both"/>
        <w:rPr>
          <w:rFonts w:ascii="Arial" w:eastAsia="Times New Roman" w:hAnsi="Arial" w:cs="Arial"/>
          <w:color w:val="1E1E1E"/>
          <w:sz w:val="24"/>
          <w:szCs w:val="24"/>
        </w:rPr>
      </w:pPr>
      <w:r w:rsidRPr="004E1021">
        <w:rPr>
          <w:rFonts w:ascii="Arial" w:eastAsia="Times New Roman" w:hAnsi="Arial" w:cs="Arial"/>
          <w:color w:val="1E1E1E"/>
          <w:sz w:val="24"/>
          <w:szCs w:val="24"/>
        </w:rPr>
        <w:t>PAN</w:t>
      </w:r>
    </w:p>
    <w:p w14:paraId="5C5752DB" w14:textId="77777777" w:rsidR="00757A2E" w:rsidRPr="004E1021" w:rsidRDefault="007C1D50" w:rsidP="004E1021">
      <w:pPr>
        <w:numPr>
          <w:ilvl w:val="0"/>
          <w:numId w:val="1"/>
        </w:numPr>
        <w:shd w:val="clear" w:color="auto" w:fill="FFFFFF"/>
        <w:spacing w:after="0" w:line="240" w:lineRule="auto"/>
        <w:jc w:val="both"/>
        <w:rPr>
          <w:rFonts w:ascii="Arial" w:eastAsia="Times New Roman" w:hAnsi="Arial" w:cs="Arial"/>
          <w:color w:val="1E1E1E"/>
          <w:sz w:val="24"/>
          <w:szCs w:val="24"/>
        </w:rPr>
      </w:pPr>
      <w:r w:rsidRPr="004E1021">
        <w:rPr>
          <w:rFonts w:ascii="Arial" w:eastAsia="Times New Roman" w:hAnsi="Arial" w:cs="Arial"/>
          <w:color w:val="1E1E1E"/>
          <w:sz w:val="24"/>
          <w:szCs w:val="24"/>
        </w:rPr>
        <w:t>Nomination (for all eligible folios) in Form No. SH-13 or submit declaration to ‘Opt-out’ in Form ISR-3</w:t>
      </w:r>
    </w:p>
    <w:p w14:paraId="1D129279" w14:textId="77777777" w:rsidR="008A7BB4" w:rsidRPr="004E1021" w:rsidRDefault="008A7BB4" w:rsidP="004E1021">
      <w:pPr>
        <w:numPr>
          <w:ilvl w:val="0"/>
          <w:numId w:val="1"/>
        </w:numPr>
        <w:shd w:val="clear" w:color="auto" w:fill="FFFFFF"/>
        <w:spacing w:after="0" w:line="240" w:lineRule="auto"/>
        <w:jc w:val="both"/>
        <w:rPr>
          <w:rFonts w:ascii="Arial" w:eastAsia="Times New Roman" w:hAnsi="Arial" w:cs="Arial"/>
          <w:color w:val="1E1E1E"/>
          <w:sz w:val="24"/>
          <w:szCs w:val="24"/>
        </w:rPr>
      </w:pPr>
      <w:r w:rsidRPr="004E1021">
        <w:rPr>
          <w:rFonts w:ascii="Arial" w:eastAsia="Times New Roman" w:hAnsi="Arial" w:cs="Arial"/>
          <w:color w:val="1E1E1E"/>
          <w:sz w:val="24"/>
          <w:szCs w:val="24"/>
        </w:rPr>
        <w:t xml:space="preserve">Contact details including Postal address with PIN code, Mobile Number, E-mail </w:t>
      </w:r>
      <w:r w:rsidR="00EF36DE" w:rsidRPr="004E1021">
        <w:rPr>
          <w:rFonts w:ascii="Arial" w:eastAsia="Times New Roman" w:hAnsi="Arial" w:cs="Arial"/>
          <w:color w:val="1E1E1E"/>
          <w:sz w:val="24"/>
          <w:szCs w:val="24"/>
        </w:rPr>
        <w:t>Id</w:t>
      </w:r>
    </w:p>
    <w:p w14:paraId="6C89E98C" w14:textId="77777777" w:rsidR="007C1D50" w:rsidRPr="004E1021" w:rsidRDefault="007C1D50" w:rsidP="004E1021">
      <w:pPr>
        <w:numPr>
          <w:ilvl w:val="0"/>
          <w:numId w:val="1"/>
        </w:numPr>
        <w:shd w:val="clear" w:color="auto" w:fill="FFFFFF"/>
        <w:spacing w:after="0" w:line="240" w:lineRule="auto"/>
        <w:jc w:val="both"/>
        <w:rPr>
          <w:rFonts w:ascii="Arial" w:eastAsia="Times New Roman" w:hAnsi="Arial" w:cs="Arial"/>
          <w:color w:val="1E1E1E"/>
          <w:sz w:val="24"/>
          <w:szCs w:val="24"/>
        </w:rPr>
      </w:pPr>
      <w:r w:rsidRPr="004E1021">
        <w:rPr>
          <w:rFonts w:ascii="Arial" w:eastAsia="Times New Roman" w:hAnsi="Arial" w:cs="Arial"/>
          <w:color w:val="1E1E1E"/>
          <w:sz w:val="24"/>
          <w:szCs w:val="24"/>
        </w:rPr>
        <w:t>Bank Account details including Bank name and branch, Bank account number, IFS code</w:t>
      </w:r>
    </w:p>
    <w:p w14:paraId="01D1858B" w14:textId="77777777" w:rsidR="007C1D50" w:rsidRPr="004E1021" w:rsidRDefault="007C1D50" w:rsidP="004E1021">
      <w:pPr>
        <w:numPr>
          <w:ilvl w:val="0"/>
          <w:numId w:val="1"/>
        </w:numPr>
        <w:shd w:val="clear" w:color="auto" w:fill="FFFFFF"/>
        <w:spacing w:after="0" w:line="240" w:lineRule="auto"/>
        <w:jc w:val="both"/>
        <w:rPr>
          <w:rFonts w:ascii="Arial" w:eastAsia="Times New Roman" w:hAnsi="Arial" w:cs="Arial"/>
          <w:color w:val="1E1E1E"/>
          <w:sz w:val="24"/>
          <w:szCs w:val="24"/>
        </w:rPr>
      </w:pPr>
      <w:r w:rsidRPr="004E1021">
        <w:rPr>
          <w:rFonts w:ascii="Arial" w:eastAsia="Times New Roman" w:hAnsi="Arial" w:cs="Arial"/>
          <w:color w:val="1E1E1E"/>
          <w:sz w:val="24"/>
          <w:szCs w:val="24"/>
        </w:rPr>
        <w:t>Specimen signature</w:t>
      </w:r>
    </w:p>
    <w:p w14:paraId="5DFCC557" w14:textId="77777777" w:rsidR="004E1021" w:rsidRDefault="004E1021" w:rsidP="004E1021">
      <w:pPr>
        <w:shd w:val="clear" w:color="auto" w:fill="FFFFFF"/>
        <w:spacing w:after="0" w:line="240" w:lineRule="auto"/>
        <w:jc w:val="both"/>
        <w:rPr>
          <w:rFonts w:ascii="Arial" w:eastAsia="Times New Roman" w:hAnsi="Arial" w:cs="Arial"/>
          <w:bCs/>
          <w:color w:val="1E1E1E"/>
          <w:sz w:val="24"/>
          <w:szCs w:val="24"/>
        </w:rPr>
      </w:pPr>
    </w:p>
    <w:p w14:paraId="452B7C04" w14:textId="77777777" w:rsidR="007C1D50" w:rsidRPr="004E1021" w:rsidRDefault="007C1D50" w:rsidP="004E1021">
      <w:pPr>
        <w:shd w:val="clear" w:color="auto" w:fill="FFFFFF"/>
        <w:spacing w:after="0" w:line="240" w:lineRule="auto"/>
        <w:jc w:val="both"/>
        <w:rPr>
          <w:rFonts w:ascii="Arial" w:eastAsia="Times New Roman" w:hAnsi="Arial" w:cs="Arial"/>
          <w:color w:val="1E1E1E"/>
          <w:sz w:val="24"/>
          <w:szCs w:val="24"/>
        </w:rPr>
      </w:pPr>
      <w:r w:rsidRPr="004E1021">
        <w:rPr>
          <w:rFonts w:ascii="Arial" w:eastAsia="Times New Roman" w:hAnsi="Arial" w:cs="Arial"/>
          <w:bCs/>
          <w:color w:val="1E1E1E"/>
          <w:sz w:val="24"/>
          <w:szCs w:val="24"/>
        </w:rPr>
        <w:t xml:space="preserve">The above documents/details are to be provided to Company’s RTA i.e. </w:t>
      </w:r>
      <w:proofErr w:type="spellStart"/>
      <w:r w:rsidRPr="004E1021">
        <w:rPr>
          <w:rFonts w:ascii="Arial" w:eastAsia="Times New Roman" w:hAnsi="Arial" w:cs="Arial"/>
          <w:bCs/>
          <w:color w:val="1E1E1E"/>
          <w:sz w:val="24"/>
          <w:szCs w:val="24"/>
        </w:rPr>
        <w:t>KFin</w:t>
      </w:r>
      <w:proofErr w:type="spellEnd"/>
      <w:r w:rsidRPr="004E1021">
        <w:rPr>
          <w:rFonts w:ascii="Arial" w:eastAsia="Times New Roman" w:hAnsi="Arial" w:cs="Arial"/>
          <w:bCs/>
          <w:color w:val="1E1E1E"/>
          <w:sz w:val="24"/>
          <w:szCs w:val="24"/>
        </w:rPr>
        <w:t xml:space="preserve"> Technologies Private Limited, Selenium Tower B, Plot No.31-32, Gachibowli, Financial District, </w:t>
      </w:r>
      <w:proofErr w:type="spellStart"/>
      <w:r w:rsidRPr="004E1021">
        <w:rPr>
          <w:rFonts w:ascii="Arial" w:eastAsia="Times New Roman" w:hAnsi="Arial" w:cs="Arial"/>
          <w:bCs/>
          <w:color w:val="1E1E1E"/>
          <w:sz w:val="24"/>
          <w:szCs w:val="24"/>
        </w:rPr>
        <w:t>Nanakramguda</w:t>
      </w:r>
      <w:proofErr w:type="spellEnd"/>
      <w:r w:rsidRPr="004E1021">
        <w:rPr>
          <w:rFonts w:ascii="Arial" w:eastAsia="Times New Roman" w:hAnsi="Arial" w:cs="Arial"/>
          <w:bCs/>
          <w:color w:val="1E1E1E"/>
          <w:sz w:val="24"/>
          <w:szCs w:val="24"/>
        </w:rPr>
        <w:t xml:space="preserve">, </w:t>
      </w:r>
      <w:proofErr w:type="spellStart"/>
      <w:r w:rsidRPr="004E1021">
        <w:rPr>
          <w:rFonts w:ascii="Arial" w:eastAsia="Times New Roman" w:hAnsi="Arial" w:cs="Arial"/>
          <w:bCs/>
          <w:color w:val="1E1E1E"/>
          <w:sz w:val="24"/>
          <w:szCs w:val="24"/>
        </w:rPr>
        <w:t>Serilingampally</w:t>
      </w:r>
      <w:proofErr w:type="spellEnd"/>
      <w:r w:rsidRPr="004E1021">
        <w:rPr>
          <w:rFonts w:ascii="Arial" w:eastAsia="Times New Roman" w:hAnsi="Arial" w:cs="Arial"/>
          <w:bCs/>
          <w:color w:val="1E1E1E"/>
          <w:sz w:val="24"/>
          <w:szCs w:val="24"/>
        </w:rPr>
        <w:t>, Hyderabad 500 032, Telangana, India or email at einward.ris@kfintech.com along with Name and folio numbers.</w:t>
      </w:r>
    </w:p>
    <w:p w14:paraId="30417507" w14:textId="77777777" w:rsidR="004E1021" w:rsidRDefault="004E1021" w:rsidP="004E1021">
      <w:pPr>
        <w:shd w:val="clear" w:color="auto" w:fill="FFFFFF"/>
        <w:spacing w:after="0" w:line="240" w:lineRule="auto"/>
        <w:jc w:val="both"/>
        <w:rPr>
          <w:rFonts w:ascii="Arial" w:eastAsia="Times New Roman" w:hAnsi="Arial" w:cs="Arial"/>
          <w:color w:val="1E1E1E"/>
          <w:sz w:val="24"/>
          <w:szCs w:val="24"/>
        </w:rPr>
      </w:pPr>
    </w:p>
    <w:p w14:paraId="5A3363A2" w14:textId="77777777" w:rsidR="007C1D50" w:rsidRDefault="007C1D50" w:rsidP="004E1021">
      <w:pPr>
        <w:shd w:val="clear" w:color="auto" w:fill="FFFFFF"/>
        <w:spacing w:after="0" w:line="240" w:lineRule="auto"/>
        <w:jc w:val="both"/>
        <w:rPr>
          <w:rFonts w:ascii="Arial" w:eastAsia="Times New Roman" w:hAnsi="Arial" w:cs="Arial"/>
          <w:color w:val="1E1E1E"/>
          <w:sz w:val="24"/>
          <w:szCs w:val="24"/>
        </w:rPr>
      </w:pPr>
      <w:r w:rsidRPr="004E1021">
        <w:rPr>
          <w:rFonts w:ascii="Arial" w:eastAsia="Times New Roman" w:hAnsi="Arial" w:cs="Arial"/>
          <w:color w:val="1E1E1E"/>
          <w:sz w:val="24"/>
          <w:szCs w:val="24"/>
        </w:rPr>
        <w:t xml:space="preserve">The shareholders can download </w:t>
      </w:r>
      <w:r w:rsidR="008A7BB4" w:rsidRPr="004E1021">
        <w:rPr>
          <w:rFonts w:ascii="Arial" w:eastAsia="Times New Roman" w:hAnsi="Arial" w:cs="Arial"/>
          <w:color w:val="1E1E1E"/>
          <w:sz w:val="24"/>
          <w:szCs w:val="24"/>
        </w:rPr>
        <w:t xml:space="preserve">the forms mentioned in the said </w:t>
      </w:r>
      <w:r w:rsidRPr="004E1021">
        <w:rPr>
          <w:rFonts w:ascii="Arial" w:eastAsia="Times New Roman" w:hAnsi="Arial" w:cs="Arial"/>
          <w:color w:val="1E1E1E"/>
          <w:sz w:val="24"/>
          <w:szCs w:val="24"/>
        </w:rPr>
        <w:t>SEBI circular as given below:</w:t>
      </w:r>
    </w:p>
    <w:p w14:paraId="008232BE" w14:textId="77777777" w:rsidR="004E1021" w:rsidRPr="004E1021" w:rsidRDefault="004E1021" w:rsidP="004E1021">
      <w:pPr>
        <w:shd w:val="clear" w:color="auto" w:fill="FFFFFF"/>
        <w:spacing w:after="0" w:line="240" w:lineRule="auto"/>
        <w:jc w:val="both"/>
        <w:rPr>
          <w:rFonts w:ascii="Arial" w:eastAsia="Times New Roman" w:hAnsi="Arial" w:cs="Arial"/>
          <w:color w:val="1E1E1E"/>
          <w:sz w:val="24"/>
          <w:szCs w:val="24"/>
        </w:rPr>
      </w:pPr>
    </w:p>
    <w:tbl>
      <w:tblPr>
        <w:tblStyle w:val="TableGrid"/>
        <w:tblW w:w="0" w:type="auto"/>
        <w:tblLook w:val="04A0" w:firstRow="1" w:lastRow="0" w:firstColumn="1" w:lastColumn="0" w:noHBand="0" w:noVBand="1"/>
      </w:tblPr>
      <w:tblGrid>
        <w:gridCol w:w="1008"/>
        <w:gridCol w:w="1530"/>
        <w:gridCol w:w="4050"/>
        <w:gridCol w:w="2880"/>
      </w:tblGrid>
      <w:tr w:rsidR="00387D71" w:rsidRPr="004E1021" w14:paraId="21F10731" w14:textId="77777777" w:rsidTr="004E1021">
        <w:tc>
          <w:tcPr>
            <w:tcW w:w="1008" w:type="dxa"/>
            <w:vAlign w:val="center"/>
          </w:tcPr>
          <w:p w14:paraId="1DE1644A" w14:textId="77777777" w:rsidR="00932646" w:rsidRPr="004E1021" w:rsidRDefault="00932646" w:rsidP="004E1021">
            <w:pPr>
              <w:rPr>
                <w:rFonts w:ascii="Arial" w:eastAsia="Times New Roman" w:hAnsi="Arial" w:cs="Arial"/>
                <w:b/>
                <w:color w:val="1E1E1E"/>
                <w:sz w:val="24"/>
                <w:szCs w:val="24"/>
              </w:rPr>
            </w:pPr>
            <w:r w:rsidRPr="004E1021">
              <w:rPr>
                <w:rFonts w:ascii="Arial" w:eastAsia="Times New Roman" w:hAnsi="Arial" w:cs="Arial"/>
                <w:b/>
                <w:color w:val="1E1E1E"/>
                <w:sz w:val="24"/>
                <w:szCs w:val="24"/>
              </w:rPr>
              <w:t>Sr. No.</w:t>
            </w:r>
          </w:p>
        </w:tc>
        <w:tc>
          <w:tcPr>
            <w:tcW w:w="1530" w:type="dxa"/>
            <w:vAlign w:val="center"/>
          </w:tcPr>
          <w:p w14:paraId="6AD12660" w14:textId="77777777" w:rsidR="00932646" w:rsidRPr="004E1021" w:rsidRDefault="00932646" w:rsidP="004E1021">
            <w:pPr>
              <w:rPr>
                <w:rFonts w:ascii="Arial" w:eastAsia="Times New Roman" w:hAnsi="Arial" w:cs="Arial"/>
                <w:b/>
                <w:color w:val="1E1E1E"/>
                <w:sz w:val="24"/>
                <w:szCs w:val="24"/>
              </w:rPr>
            </w:pPr>
            <w:r w:rsidRPr="004E1021">
              <w:rPr>
                <w:rFonts w:ascii="Arial" w:eastAsia="Times New Roman" w:hAnsi="Arial" w:cs="Arial"/>
                <w:b/>
                <w:color w:val="1E1E1E"/>
                <w:sz w:val="24"/>
                <w:szCs w:val="24"/>
              </w:rPr>
              <w:t>Form</w:t>
            </w:r>
          </w:p>
        </w:tc>
        <w:tc>
          <w:tcPr>
            <w:tcW w:w="4050" w:type="dxa"/>
            <w:vAlign w:val="center"/>
          </w:tcPr>
          <w:p w14:paraId="74BA1EC1" w14:textId="77777777" w:rsidR="00932646" w:rsidRPr="004E1021" w:rsidRDefault="00932646" w:rsidP="004E1021">
            <w:pPr>
              <w:rPr>
                <w:rFonts w:ascii="Arial" w:eastAsia="Times New Roman" w:hAnsi="Arial" w:cs="Arial"/>
                <w:b/>
                <w:color w:val="1E1E1E"/>
                <w:sz w:val="24"/>
                <w:szCs w:val="24"/>
              </w:rPr>
            </w:pPr>
            <w:r w:rsidRPr="004E1021">
              <w:rPr>
                <w:rFonts w:ascii="Arial" w:eastAsia="Times New Roman" w:hAnsi="Arial" w:cs="Arial"/>
                <w:b/>
                <w:color w:val="1E1E1E"/>
                <w:sz w:val="24"/>
                <w:szCs w:val="24"/>
              </w:rPr>
              <w:t>Purpose</w:t>
            </w:r>
          </w:p>
        </w:tc>
        <w:tc>
          <w:tcPr>
            <w:tcW w:w="2880" w:type="dxa"/>
          </w:tcPr>
          <w:p w14:paraId="233ACDAC" w14:textId="77777777" w:rsidR="00932646" w:rsidRPr="004E1021" w:rsidRDefault="00932646" w:rsidP="004E1021">
            <w:pPr>
              <w:rPr>
                <w:rFonts w:ascii="Arial" w:eastAsia="Times New Roman" w:hAnsi="Arial" w:cs="Arial"/>
                <w:b/>
                <w:color w:val="1E1E1E"/>
                <w:sz w:val="24"/>
                <w:szCs w:val="24"/>
              </w:rPr>
            </w:pPr>
            <w:r w:rsidRPr="004E1021">
              <w:rPr>
                <w:rFonts w:ascii="Arial" w:eastAsia="Times New Roman" w:hAnsi="Arial" w:cs="Arial"/>
                <w:b/>
                <w:color w:val="1E1E1E"/>
                <w:sz w:val="24"/>
                <w:szCs w:val="24"/>
              </w:rPr>
              <w:t xml:space="preserve">Download </w:t>
            </w:r>
          </w:p>
        </w:tc>
      </w:tr>
      <w:tr w:rsidR="00387D71" w:rsidRPr="004E1021" w14:paraId="53735779" w14:textId="77777777" w:rsidTr="004E1021">
        <w:trPr>
          <w:trHeight w:val="1115"/>
        </w:trPr>
        <w:tc>
          <w:tcPr>
            <w:tcW w:w="1008" w:type="dxa"/>
            <w:vAlign w:val="center"/>
          </w:tcPr>
          <w:p w14:paraId="36ADB61F"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1</w:t>
            </w:r>
          </w:p>
        </w:tc>
        <w:tc>
          <w:tcPr>
            <w:tcW w:w="1530" w:type="dxa"/>
            <w:vAlign w:val="center"/>
          </w:tcPr>
          <w:p w14:paraId="41309C80"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Form ISR-1</w:t>
            </w:r>
          </w:p>
        </w:tc>
        <w:tc>
          <w:tcPr>
            <w:tcW w:w="4050" w:type="dxa"/>
          </w:tcPr>
          <w:p w14:paraId="00F0C128" w14:textId="77777777" w:rsidR="00932646" w:rsidRPr="004E1021" w:rsidRDefault="00932646" w:rsidP="004E1021">
            <w:pPr>
              <w:jc w:val="both"/>
              <w:rPr>
                <w:rFonts w:ascii="Arial" w:eastAsia="Times New Roman" w:hAnsi="Arial" w:cs="Arial"/>
                <w:color w:val="1E1E1E"/>
                <w:sz w:val="24"/>
                <w:szCs w:val="24"/>
              </w:rPr>
            </w:pPr>
            <w:r w:rsidRPr="004E1021">
              <w:rPr>
                <w:rFonts w:ascii="Arial" w:eastAsia="Times New Roman" w:hAnsi="Arial" w:cs="Arial"/>
                <w:color w:val="1E1E1E"/>
                <w:sz w:val="24"/>
                <w:szCs w:val="24"/>
              </w:rPr>
              <w:t>Request for Registering PAN, KYC details OR Changes</w:t>
            </w:r>
            <w:r w:rsidR="00757A2E" w:rsidRPr="004E1021">
              <w:rPr>
                <w:rFonts w:ascii="Arial" w:eastAsia="Times New Roman" w:hAnsi="Arial" w:cs="Arial"/>
                <w:color w:val="1E1E1E"/>
                <w:sz w:val="24"/>
                <w:szCs w:val="24"/>
              </w:rPr>
              <w:t xml:space="preserve"> </w:t>
            </w:r>
            <w:r w:rsidRPr="004E1021">
              <w:rPr>
                <w:rFonts w:ascii="Arial" w:eastAsia="Times New Roman" w:hAnsi="Arial" w:cs="Arial"/>
                <w:color w:val="1E1E1E"/>
                <w:sz w:val="24"/>
                <w:szCs w:val="24"/>
              </w:rPr>
              <w:t>/</w:t>
            </w:r>
            <w:r w:rsidR="00757A2E" w:rsidRPr="004E1021">
              <w:rPr>
                <w:rFonts w:ascii="Arial" w:eastAsia="Times New Roman" w:hAnsi="Arial" w:cs="Arial"/>
                <w:color w:val="1E1E1E"/>
                <w:sz w:val="24"/>
                <w:szCs w:val="24"/>
              </w:rPr>
              <w:t xml:space="preserve"> </w:t>
            </w:r>
            <w:proofErr w:type="spellStart"/>
            <w:r w:rsidRPr="004E1021">
              <w:rPr>
                <w:rFonts w:ascii="Arial" w:eastAsia="Times New Roman" w:hAnsi="Arial" w:cs="Arial"/>
                <w:color w:val="1E1E1E"/>
                <w:sz w:val="24"/>
                <w:szCs w:val="24"/>
              </w:rPr>
              <w:t>updations</w:t>
            </w:r>
            <w:proofErr w:type="spellEnd"/>
            <w:r w:rsidRPr="004E1021">
              <w:rPr>
                <w:rFonts w:ascii="Arial" w:eastAsia="Times New Roman" w:hAnsi="Arial" w:cs="Arial"/>
                <w:color w:val="1E1E1E"/>
                <w:sz w:val="24"/>
                <w:szCs w:val="24"/>
              </w:rPr>
              <w:t xml:space="preserve"> thereof (only for securities held in physical</w:t>
            </w:r>
            <w:r w:rsidR="00757A2E" w:rsidRPr="004E1021">
              <w:rPr>
                <w:rFonts w:ascii="Arial" w:eastAsia="Times New Roman" w:hAnsi="Arial" w:cs="Arial"/>
                <w:color w:val="1E1E1E"/>
                <w:sz w:val="24"/>
                <w:szCs w:val="24"/>
              </w:rPr>
              <w:t xml:space="preserve"> form)</w:t>
            </w:r>
          </w:p>
        </w:tc>
        <w:tc>
          <w:tcPr>
            <w:tcW w:w="2880" w:type="dxa"/>
          </w:tcPr>
          <w:p w14:paraId="2F2EC92A" w14:textId="77777777" w:rsidR="00932646" w:rsidRPr="004E1021" w:rsidRDefault="00932646" w:rsidP="004E1021">
            <w:pPr>
              <w:rPr>
                <w:rFonts w:ascii="Arial" w:eastAsia="Times New Roman" w:hAnsi="Arial" w:cs="Arial"/>
                <w:color w:val="1E1E1E"/>
                <w:sz w:val="24"/>
                <w:szCs w:val="24"/>
                <w:highlight w:val="yellow"/>
              </w:rPr>
            </w:pPr>
          </w:p>
          <w:p w14:paraId="30E81B7D" w14:textId="51E4A145" w:rsidR="008A7BB4" w:rsidRPr="004E1021" w:rsidRDefault="00925CAD" w:rsidP="004E1021">
            <w:pPr>
              <w:rPr>
                <w:rFonts w:ascii="Arial" w:eastAsia="Times New Roman" w:hAnsi="Arial" w:cs="Arial"/>
                <w:color w:val="1E1E1E"/>
                <w:sz w:val="24"/>
                <w:szCs w:val="24"/>
                <w:highlight w:val="yellow"/>
              </w:rPr>
            </w:pPr>
            <w:hyperlink r:id="rId6" w:history="1">
              <w:r w:rsidR="000777C3">
                <w:rPr>
                  <w:rStyle w:val="Hyperlink"/>
                  <w:rFonts w:ascii="Arial" w:eastAsia="Times New Roman" w:hAnsi="Arial" w:cs="Arial"/>
                  <w:sz w:val="24"/>
                  <w:szCs w:val="24"/>
                  <w:highlight w:val="yellow"/>
                </w:rPr>
                <w:t>Form ISR-1</w:t>
              </w:r>
            </w:hyperlink>
          </w:p>
        </w:tc>
      </w:tr>
      <w:tr w:rsidR="00387D71" w:rsidRPr="004E1021" w14:paraId="468D0C9B" w14:textId="77777777" w:rsidTr="004E1021">
        <w:tc>
          <w:tcPr>
            <w:tcW w:w="1008" w:type="dxa"/>
            <w:vAlign w:val="center"/>
          </w:tcPr>
          <w:p w14:paraId="0AEFA2FA"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2</w:t>
            </w:r>
          </w:p>
        </w:tc>
        <w:tc>
          <w:tcPr>
            <w:tcW w:w="1530" w:type="dxa"/>
            <w:vAlign w:val="center"/>
          </w:tcPr>
          <w:p w14:paraId="264BFCBB"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Form ISR-2</w:t>
            </w:r>
          </w:p>
        </w:tc>
        <w:tc>
          <w:tcPr>
            <w:tcW w:w="4050" w:type="dxa"/>
          </w:tcPr>
          <w:p w14:paraId="4C2B5658" w14:textId="77777777" w:rsidR="00932646" w:rsidRPr="004E1021" w:rsidRDefault="00932646" w:rsidP="004E1021">
            <w:pPr>
              <w:jc w:val="both"/>
              <w:rPr>
                <w:rFonts w:ascii="Arial" w:eastAsia="Times New Roman" w:hAnsi="Arial" w:cs="Arial"/>
                <w:color w:val="1E1E1E"/>
                <w:sz w:val="24"/>
                <w:szCs w:val="24"/>
              </w:rPr>
            </w:pPr>
            <w:r w:rsidRPr="004E1021">
              <w:rPr>
                <w:rFonts w:ascii="Arial" w:eastAsia="Times New Roman" w:hAnsi="Arial" w:cs="Arial"/>
                <w:color w:val="1E1E1E"/>
                <w:sz w:val="24"/>
                <w:szCs w:val="24"/>
              </w:rPr>
              <w:t>Confirmation of Signature of securities holder by Banker</w:t>
            </w:r>
          </w:p>
        </w:tc>
        <w:tc>
          <w:tcPr>
            <w:tcW w:w="2880" w:type="dxa"/>
          </w:tcPr>
          <w:p w14:paraId="359C4197" w14:textId="13D570EE" w:rsidR="00932646" w:rsidRPr="004E1021" w:rsidRDefault="00CC15DF" w:rsidP="004E1021">
            <w:pPr>
              <w:rPr>
                <w:rFonts w:ascii="Arial" w:eastAsia="Times New Roman" w:hAnsi="Arial" w:cs="Arial"/>
                <w:color w:val="1E1E1E"/>
                <w:sz w:val="24"/>
                <w:szCs w:val="24"/>
                <w:highlight w:val="yellow"/>
              </w:rPr>
            </w:pPr>
            <w:hyperlink r:id="rId7" w:history="1">
              <w:r>
                <w:rPr>
                  <w:rStyle w:val="Hyperlink"/>
                  <w:rFonts w:ascii="Arial" w:eastAsia="Times New Roman" w:hAnsi="Arial" w:cs="Arial"/>
                  <w:sz w:val="24"/>
                  <w:szCs w:val="24"/>
                  <w:highlight w:val="yellow"/>
                </w:rPr>
                <w:t>Form ISR-2</w:t>
              </w:r>
            </w:hyperlink>
          </w:p>
        </w:tc>
      </w:tr>
      <w:tr w:rsidR="00387D71" w:rsidRPr="004E1021" w14:paraId="3D3EEEA4" w14:textId="77777777" w:rsidTr="004E1021">
        <w:tc>
          <w:tcPr>
            <w:tcW w:w="1008" w:type="dxa"/>
            <w:vAlign w:val="center"/>
          </w:tcPr>
          <w:p w14:paraId="2C296C7A"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3</w:t>
            </w:r>
          </w:p>
        </w:tc>
        <w:tc>
          <w:tcPr>
            <w:tcW w:w="1530" w:type="dxa"/>
            <w:vAlign w:val="center"/>
          </w:tcPr>
          <w:p w14:paraId="4C3359D0"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Form ISR-3</w:t>
            </w:r>
          </w:p>
        </w:tc>
        <w:tc>
          <w:tcPr>
            <w:tcW w:w="4050" w:type="dxa"/>
          </w:tcPr>
          <w:p w14:paraId="69096411" w14:textId="77777777" w:rsidR="00932646" w:rsidRPr="004E1021" w:rsidRDefault="00932646" w:rsidP="004E1021">
            <w:pPr>
              <w:jc w:val="both"/>
              <w:rPr>
                <w:rFonts w:ascii="Arial" w:eastAsia="Times New Roman" w:hAnsi="Arial" w:cs="Arial"/>
                <w:color w:val="1E1E1E"/>
                <w:sz w:val="24"/>
                <w:szCs w:val="24"/>
              </w:rPr>
            </w:pPr>
            <w:r w:rsidRPr="004E1021">
              <w:rPr>
                <w:rFonts w:ascii="Arial" w:eastAsia="Times New Roman" w:hAnsi="Arial" w:cs="Arial"/>
                <w:color w:val="1E1E1E"/>
                <w:sz w:val="24"/>
                <w:szCs w:val="24"/>
              </w:rPr>
              <w:t>Declaration for Opting-out of Nomination by holders of physical securities in Listed Companies</w:t>
            </w:r>
          </w:p>
        </w:tc>
        <w:tc>
          <w:tcPr>
            <w:tcW w:w="2880" w:type="dxa"/>
          </w:tcPr>
          <w:p w14:paraId="2850C269" w14:textId="7968405B" w:rsidR="00932646" w:rsidRPr="004E1021" w:rsidRDefault="00CC15DF" w:rsidP="004E1021">
            <w:pPr>
              <w:rPr>
                <w:rFonts w:ascii="Arial" w:eastAsia="Times New Roman" w:hAnsi="Arial" w:cs="Arial"/>
                <w:color w:val="1E1E1E"/>
                <w:sz w:val="24"/>
                <w:szCs w:val="24"/>
                <w:highlight w:val="yellow"/>
              </w:rPr>
            </w:pPr>
            <w:hyperlink r:id="rId8" w:history="1">
              <w:r w:rsidRPr="00CC15DF">
                <w:rPr>
                  <w:rStyle w:val="Hyperlink"/>
                  <w:rFonts w:ascii="Arial" w:eastAsia="Times New Roman" w:hAnsi="Arial" w:cs="Arial"/>
                  <w:sz w:val="24"/>
                  <w:szCs w:val="24"/>
                  <w:highlight w:val="yellow"/>
                </w:rPr>
                <w:t>Form ISR-3</w:t>
              </w:r>
            </w:hyperlink>
          </w:p>
        </w:tc>
      </w:tr>
      <w:tr w:rsidR="00387D71" w:rsidRPr="004E1021" w14:paraId="600083EF" w14:textId="77777777" w:rsidTr="004E1021">
        <w:tc>
          <w:tcPr>
            <w:tcW w:w="1008" w:type="dxa"/>
            <w:vAlign w:val="center"/>
          </w:tcPr>
          <w:p w14:paraId="3255E1C5"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4</w:t>
            </w:r>
          </w:p>
        </w:tc>
        <w:tc>
          <w:tcPr>
            <w:tcW w:w="1530" w:type="dxa"/>
            <w:vAlign w:val="center"/>
          </w:tcPr>
          <w:p w14:paraId="23C31464"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Form SH-13</w:t>
            </w:r>
          </w:p>
        </w:tc>
        <w:tc>
          <w:tcPr>
            <w:tcW w:w="4050" w:type="dxa"/>
          </w:tcPr>
          <w:p w14:paraId="0DF2014B" w14:textId="77777777" w:rsidR="00932646" w:rsidRPr="004E1021" w:rsidRDefault="00932646" w:rsidP="004E1021">
            <w:pPr>
              <w:jc w:val="both"/>
              <w:rPr>
                <w:rFonts w:ascii="Arial" w:eastAsia="Times New Roman" w:hAnsi="Arial" w:cs="Arial"/>
                <w:color w:val="1E1E1E"/>
                <w:sz w:val="24"/>
                <w:szCs w:val="24"/>
              </w:rPr>
            </w:pPr>
            <w:r w:rsidRPr="004E1021">
              <w:rPr>
                <w:rFonts w:ascii="Arial" w:eastAsia="Times New Roman" w:hAnsi="Arial" w:cs="Arial"/>
                <w:color w:val="1E1E1E"/>
                <w:sz w:val="24"/>
                <w:szCs w:val="24"/>
              </w:rPr>
              <w:t>Nomination Form</w:t>
            </w:r>
          </w:p>
        </w:tc>
        <w:tc>
          <w:tcPr>
            <w:tcW w:w="2880" w:type="dxa"/>
          </w:tcPr>
          <w:p w14:paraId="1828603B" w14:textId="7B77B55E" w:rsidR="00932646" w:rsidRPr="004E1021" w:rsidRDefault="002B198C" w:rsidP="004E1021">
            <w:pPr>
              <w:rPr>
                <w:rFonts w:ascii="Arial" w:eastAsia="Times New Roman" w:hAnsi="Arial" w:cs="Arial"/>
                <w:color w:val="1E1E1E"/>
                <w:sz w:val="24"/>
                <w:szCs w:val="24"/>
                <w:highlight w:val="yellow"/>
              </w:rPr>
            </w:pPr>
            <w:hyperlink r:id="rId9" w:history="1">
              <w:r w:rsidRPr="002B198C">
                <w:rPr>
                  <w:rStyle w:val="Hyperlink"/>
                  <w:rFonts w:ascii="Arial" w:eastAsia="Times New Roman" w:hAnsi="Arial" w:cs="Arial"/>
                  <w:sz w:val="24"/>
                  <w:szCs w:val="24"/>
                  <w:highlight w:val="yellow"/>
                </w:rPr>
                <w:t>Form SH-13</w:t>
              </w:r>
            </w:hyperlink>
          </w:p>
        </w:tc>
      </w:tr>
      <w:tr w:rsidR="00387D71" w:rsidRPr="004E1021" w14:paraId="550B5576" w14:textId="77777777" w:rsidTr="004E1021">
        <w:tc>
          <w:tcPr>
            <w:tcW w:w="1008" w:type="dxa"/>
            <w:vAlign w:val="center"/>
          </w:tcPr>
          <w:p w14:paraId="0ED25320"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5</w:t>
            </w:r>
          </w:p>
        </w:tc>
        <w:tc>
          <w:tcPr>
            <w:tcW w:w="1530" w:type="dxa"/>
            <w:vAlign w:val="center"/>
          </w:tcPr>
          <w:p w14:paraId="35CBAA4C" w14:textId="77777777" w:rsidR="00932646" w:rsidRPr="004E1021" w:rsidRDefault="00932646" w:rsidP="004E1021">
            <w:pPr>
              <w:rPr>
                <w:rFonts w:ascii="Arial" w:eastAsia="Times New Roman" w:hAnsi="Arial" w:cs="Arial"/>
                <w:color w:val="1E1E1E"/>
                <w:sz w:val="24"/>
                <w:szCs w:val="24"/>
              </w:rPr>
            </w:pPr>
            <w:r w:rsidRPr="004E1021">
              <w:rPr>
                <w:rFonts w:ascii="Arial" w:eastAsia="Times New Roman" w:hAnsi="Arial" w:cs="Arial"/>
                <w:color w:val="1E1E1E"/>
                <w:sz w:val="24"/>
                <w:szCs w:val="24"/>
              </w:rPr>
              <w:t>Form SH-14</w:t>
            </w:r>
          </w:p>
        </w:tc>
        <w:tc>
          <w:tcPr>
            <w:tcW w:w="4050" w:type="dxa"/>
          </w:tcPr>
          <w:p w14:paraId="6150FDE0" w14:textId="77777777" w:rsidR="00932646" w:rsidRPr="004E1021" w:rsidRDefault="00932646" w:rsidP="004E1021">
            <w:pPr>
              <w:jc w:val="both"/>
              <w:rPr>
                <w:rFonts w:ascii="Arial" w:eastAsia="Times New Roman" w:hAnsi="Arial" w:cs="Arial"/>
                <w:color w:val="1E1E1E"/>
                <w:sz w:val="24"/>
                <w:szCs w:val="24"/>
              </w:rPr>
            </w:pPr>
            <w:r w:rsidRPr="004E1021">
              <w:rPr>
                <w:rFonts w:ascii="Arial" w:eastAsia="Times New Roman" w:hAnsi="Arial" w:cs="Arial"/>
                <w:color w:val="1E1E1E"/>
                <w:sz w:val="24"/>
                <w:szCs w:val="24"/>
              </w:rPr>
              <w:t>Cancellation OR Variation of Nomination</w:t>
            </w:r>
          </w:p>
        </w:tc>
        <w:tc>
          <w:tcPr>
            <w:tcW w:w="2880" w:type="dxa"/>
          </w:tcPr>
          <w:p w14:paraId="7B285329" w14:textId="6EAB5930" w:rsidR="00932646" w:rsidRPr="004E1021" w:rsidRDefault="00B65A41" w:rsidP="004E1021">
            <w:pPr>
              <w:rPr>
                <w:rFonts w:ascii="Arial" w:eastAsia="Times New Roman" w:hAnsi="Arial" w:cs="Arial"/>
                <w:color w:val="1E1E1E"/>
                <w:sz w:val="24"/>
                <w:szCs w:val="24"/>
                <w:highlight w:val="yellow"/>
              </w:rPr>
            </w:pPr>
            <w:hyperlink r:id="rId10" w:history="1">
              <w:r w:rsidRPr="00B65A41">
                <w:rPr>
                  <w:rStyle w:val="Hyperlink"/>
                  <w:rFonts w:ascii="Arial" w:eastAsia="Times New Roman" w:hAnsi="Arial" w:cs="Arial"/>
                  <w:sz w:val="24"/>
                  <w:szCs w:val="24"/>
                  <w:highlight w:val="yellow"/>
                </w:rPr>
                <w:t>Form SH-14</w:t>
              </w:r>
            </w:hyperlink>
          </w:p>
        </w:tc>
      </w:tr>
    </w:tbl>
    <w:p w14:paraId="2EDA7C97" w14:textId="77777777" w:rsidR="004A537A" w:rsidRPr="004E1021" w:rsidRDefault="004A537A" w:rsidP="004E1021">
      <w:pPr>
        <w:pStyle w:val="Default"/>
      </w:pPr>
    </w:p>
    <w:p w14:paraId="0EEA75D7" w14:textId="77777777" w:rsidR="004A537A" w:rsidRPr="004E1021" w:rsidRDefault="004A537A" w:rsidP="004E1021">
      <w:pPr>
        <w:pStyle w:val="Default"/>
        <w:jc w:val="both"/>
        <w:rPr>
          <w:b/>
          <w:bCs/>
        </w:rPr>
      </w:pPr>
      <w:r w:rsidRPr="004E1021">
        <w:rPr>
          <w:b/>
          <w:bCs/>
        </w:rPr>
        <w:t xml:space="preserve">Compulsory linking of PAN and Aadhaar by all holders of physical securities in listed companies </w:t>
      </w:r>
    </w:p>
    <w:p w14:paraId="53B7696F" w14:textId="77777777" w:rsidR="004A537A" w:rsidRPr="004E1021" w:rsidRDefault="004A537A" w:rsidP="004E1021">
      <w:pPr>
        <w:pStyle w:val="Default"/>
      </w:pPr>
    </w:p>
    <w:p w14:paraId="3E54A73C" w14:textId="77777777" w:rsidR="004A537A" w:rsidRPr="004E1021" w:rsidRDefault="00C313FB" w:rsidP="004E1021">
      <w:pPr>
        <w:pStyle w:val="Default"/>
      </w:pPr>
      <w:r w:rsidRPr="004E1021">
        <w:t>F</w:t>
      </w:r>
      <w:r w:rsidR="004A537A" w:rsidRPr="004E1021">
        <w:t>rom</w:t>
      </w:r>
      <w:r w:rsidRPr="004E1021">
        <w:t xml:space="preserve"> </w:t>
      </w:r>
      <w:r w:rsidR="004A537A" w:rsidRPr="004E1021">
        <w:t>March 31, 2022 or any other date as may be specified by the CBDT, RTAs shall</w:t>
      </w:r>
      <w:r w:rsidR="007A7B4B" w:rsidRPr="004E1021">
        <w:t xml:space="preserve"> </w:t>
      </w:r>
    </w:p>
    <w:p w14:paraId="50A06F74" w14:textId="77777777" w:rsidR="009B1911" w:rsidRPr="004E1021" w:rsidRDefault="004A537A" w:rsidP="004E1021">
      <w:pPr>
        <w:pStyle w:val="Default"/>
      </w:pPr>
      <w:r w:rsidRPr="004E1021">
        <w:t>accept only valid PANs</w:t>
      </w:r>
      <w:r w:rsidR="00C313FB" w:rsidRPr="004E1021">
        <w:t xml:space="preserve"> (PAN linked with Aadhaar) </w:t>
      </w:r>
      <w:r w:rsidRPr="004E1021">
        <w:t>and</w:t>
      </w:r>
      <w:r w:rsidR="00C313FB" w:rsidRPr="004E1021">
        <w:t xml:space="preserve"> t</w:t>
      </w:r>
      <w:r w:rsidRPr="004E1021">
        <w:t>he folios in which PANs is / are not valid as on the notified cut-off date of March, 31, 2022 or any other date as may be specified by the CBDT, shall also be frozen</w:t>
      </w:r>
      <w:r w:rsidR="00C313FB" w:rsidRPr="004E1021">
        <w:t>.</w:t>
      </w:r>
      <w:r w:rsidRPr="004E1021">
        <w:t xml:space="preserve"> </w:t>
      </w:r>
    </w:p>
    <w:sectPr w:rsidR="009B1911" w:rsidRPr="004E1021" w:rsidSect="004E1021">
      <w:pgSz w:w="11909" w:h="16834" w:code="9"/>
      <w:pgMar w:top="1008"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A26C0"/>
    <w:multiLevelType w:val="multilevel"/>
    <w:tmpl w:val="79F4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D50"/>
    <w:rsid w:val="00033548"/>
    <w:rsid w:val="000777C3"/>
    <w:rsid w:val="00100A6D"/>
    <w:rsid w:val="00182BE4"/>
    <w:rsid w:val="002B198C"/>
    <w:rsid w:val="00356595"/>
    <w:rsid w:val="003828ED"/>
    <w:rsid w:val="00387D71"/>
    <w:rsid w:val="003C3BBD"/>
    <w:rsid w:val="003E2354"/>
    <w:rsid w:val="004A537A"/>
    <w:rsid w:val="004E1021"/>
    <w:rsid w:val="00603F64"/>
    <w:rsid w:val="006E60FD"/>
    <w:rsid w:val="00757A2E"/>
    <w:rsid w:val="00771248"/>
    <w:rsid w:val="007A7B4B"/>
    <w:rsid w:val="007C1D50"/>
    <w:rsid w:val="008A7BB4"/>
    <w:rsid w:val="00925CAD"/>
    <w:rsid w:val="00932646"/>
    <w:rsid w:val="009B1911"/>
    <w:rsid w:val="00A11CF2"/>
    <w:rsid w:val="00A166BC"/>
    <w:rsid w:val="00A5410D"/>
    <w:rsid w:val="00B65A41"/>
    <w:rsid w:val="00C313FB"/>
    <w:rsid w:val="00CC15DF"/>
    <w:rsid w:val="00E93114"/>
    <w:rsid w:val="00EF36DE"/>
    <w:rsid w:val="00F67538"/>
    <w:rsid w:val="00F7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91D9"/>
  <w15:docId w15:val="{6B1FAC5F-4F46-5548-B8DA-052C62EF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1D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D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C1D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D50"/>
    <w:rPr>
      <w:color w:val="0000FF"/>
      <w:u w:val="single"/>
    </w:rPr>
  </w:style>
  <w:style w:type="character" w:styleId="Strong">
    <w:name w:val="Strong"/>
    <w:basedOn w:val="DefaultParagraphFont"/>
    <w:uiPriority w:val="22"/>
    <w:qFormat/>
    <w:rsid w:val="007C1D50"/>
    <w:rPr>
      <w:b/>
      <w:bCs/>
    </w:rPr>
  </w:style>
  <w:style w:type="table" w:styleId="TableGrid">
    <w:name w:val="Table Grid"/>
    <w:basedOn w:val="TableNormal"/>
    <w:uiPriority w:val="59"/>
    <w:rsid w:val="0093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2354"/>
    <w:rPr>
      <w:color w:val="800080" w:themeColor="followedHyperlink"/>
      <w:u w:val="single"/>
    </w:rPr>
  </w:style>
  <w:style w:type="paragraph" w:customStyle="1" w:styleId="Default">
    <w:name w:val="Default"/>
    <w:rsid w:val="004A53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A5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7A"/>
    <w:rPr>
      <w:rFonts w:ascii="Tahoma" w:hAnsi="Tahoma" w:cs="Tahoma"/>
      <w:sz w:val="16"/>
      <w:szCs w:val="16"/>
    </w:rPr>
  </w:style>
  <w:style w:type="character" w:styleId="UnresolvedMention">
    <w:name w:val="Unresolved Mention"/>
    <w:basedOn w:val="DefaultParagraphFont"/>
    <w:uiPriority w:val="99"/>
    <w:semiHidden/>
    <w:unhideWhenUsed/>
    <w:rsid w:val="00925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vltd.com/assets/investors_relations/ISR-3.pdf" TargetMode="External"/><Relationship Id="rId3" Type="http://schemas.openxmlformats.org/officeDocument/2006/relationships/settings" Target="settings.xml"/><Relationship Id="rId7" Type="http://schemas.openxmlformats.org/officeDocument/2006/relationships/hyperlink" Target="https://www.hlvltd.com/assets/investors_relations/ISR-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lvltd.com/assets/investors_relations/ISR-1.pdf" TargetMode="External"/><Relationship Id="rId11" Type="http://schemas.openxmlformats.org/officeDocument/2006/relationships/fontTable" Target="fontTable.xml"/><Relationship Id="rId5" Type="http://schemas.openxmlformats.org/officeDocument/2006/relationships/hyperlink" Target="https://www.hlvltd.com/assets/investors_relations/SEBI-CIRCULAR-DATED-03.11.2021.pdf" TargetMode="External"/><Relationship Id="rId10" Type="http://schemas.openxmlformats.org/officeDocument/2006/relationships/hyperlink" Target="https://www.hlvltd.com/assets/investors_relations/SH-14.pdf" TargetMode="External"/><Relationship Id="rId4" Type="http://schemas.openxmlformats.org/officeDocument/2006/relationships/webSettings" Target="webSettings.xml"/><Relationship Id="rId9" Type="http://schemas.openxmlformats.org/officeDocument/2006/relationships/hyperlink" Target="https://www.hlvltd.com/assets/investors_relations/SH-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benny</dc:creator>
  <cp:lastModifiedBy>Microsoft Office User</cp:lastModifiedBy>
  <cp:revision>6</cp:revision>
  <cp:lastPrinted>2022-01-06T07:07:00Z</cp:lastPrinted>
  <dcterms:created xsi:type="dcterms:W3CDTF">2022-01-06T07:19:00Z</dcterms:created>
  <dcterms:modified xsi:type="dcterms:W3CDTF">2022-01-06T07:25:00Z</dcterms:modified>
</cp:coreProperties>
</file>